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630" w:rsidRPr="005E5376" w:rsidRDefault="00361A10">
      <w:pPr>
        <w:jc w:val="right"/>
        <w:rPr>
          <w:rFonts w:ascii="Times New Roman" w:hAnsi="Times New Roman" w:cs="Times New Roman"/>
          <w:sz w:val="24"/>
          <w:szCs w:val="24"/>
        </w:rPr>
      </w:pPr>
      <w:r w:rsidRPr="005E5376">
        <w:rPr>
          <w:rFonts w:ascii="Times New Roman" w:hAnsi="Times New Roman" w:cs="Times New Roman"/>
          <w:sz w:val="24"/>
          <w:szCs w:val="24"/>
        </w:rPr>
        <w:t>Приложение__ к Договору</w:t>
      </w:r>
    </w:p>
    <w:p w:rsidR="00B81630" w:rsidRPr="005E5376" w:rsidRDefault="00361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376">
        <w:rPr>
          <w:rFonts w:ascii="Times New Roman" w:hAnsi="Times New Roman" w:cs="Times New Roman"/>
          <w:b/>
          <w:sz w:val="24"/>
          <w:szCs w:val="24"/>
        </w:rPr>
        <w:t xml:space="preserve">Порядок и условия предоставления гарантийного депозита </w:t>
      </w:r>
    </w:p>
    <w:p w:rsidR="00B81630" w:rsidRPr="005E5376" w:rsidRDefault="00361A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E5376">
        <w:rPr>
          <w:rFonts w:ascii="Times New Roman" w:hAnsi="Times New Roman" w:cs="Times New Roman"/>
          <w:sz w:val="24"/>
          <w:szCs w:val="24"/>
        </w:rPr>
        <w:t xml:space="preserve">(применяется для договора, заключаемого на основании закупочной процедуры, проводимой </w:t>
      </w:r>
      <w:r w:rsidRPr="005E5376">
        <w:rPr>
          <w:rFonts w:ascii="Times New Roman" w:hAnsi="Times New Roman" w:cs="Times New Roman"/>
          <w:b/>
          <w:sz w:val="24"/>
          <w:szCs w:val="24"/>
        </w:rPr>
        <w:t>на общих основаниях</w:t>
      </w:r>
      <w:r w:rsidRPr="005E5376">
        <w:rPr>
          <w:rFonts w:ascii="Times New Roman" w:hAnsi="Times New Roman" w:cs="Times New Roman"/>
          <w:sz w:val="24"/>
          <w:szCs w:val="24"/>
        </w:rPr>
        <w:t>)</w:t>
      </w:r>
    </w:p>
    <w:p w:rsidR="00B81630" w:rsidRPr="005E5376" w:rsidRDefault="00B816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630" w:rsidRPr="005E5376" w:rsidRDefault="00361A10" w:rsidP="002542DC">
      <w:pPr>
        <w:pStyle w:val="af0"/>
        <w:widowControl w:val="0"/>
        <w:numPr>
          <w:ilvl w:val="0"/>
          <w:numId w:val="26"/>
        </w:numPr>
        <w:shd w:val="clear" w:color="auto" w:fill="FFFFFF"/>
        <w:tabs>
          <w:tab w:val="left" w:pos="284"/>
          <w:tab w:val="left" w:pos="426"/>
        </w:tabs>
        <w:ind w:left="0" w:firstLine="709"/>
        <w:jc w:val="both"/>
        <w:rPr>
          <w:rFonts w:ascii="Times New Roman" w:hAnsi="Times New Roman"/>
          <w:bCs/>
          <w:color w:val="000000" w:themeColor="text1"/>
        </w:rPr>
      </w:pPr>
      <w:r w:rsidRPr="005E5376">
        <w:rPr>
          <w:rFonts w:ascii="Times New Roman" w:hAnsi="Times New Roman"/>
          <w:bCs/>
          <w:color w:val="000000" w:themeColor="text1"/>
        </w:rPr>
        <w:t xml:space="preserve">Порядок и условия предоставления гарантийного депозита по Договору (далее – Порядок) </w:t>
      </w:r>
      <w:r w:rsidR="002542DC" w:rsidRPr="005E5376">
        <w:rPr>
          <w:rFonts w:ascii="Times New Roman" w:hAnsi="Times New Roman"/>
        </w:rPr>
        <w:t xml:space="preserve">применяется </w:t>
      </w:r>
      <w:r w:rsidRPr="005E5376">
        <w:rPr>
          <w:rFonts w:ascii="Times New Roman" w:hAnsi="Times New Roman"/>
        </w:rPr>
        <w:t>для договора, заключаемого на основании закупочной процедуры, проводимой на общих основаниях, с начальной (максимальной) ценой 15 000 000,00 рублей и менее с учетом всех установленных налогов и сборов, при отсутствии дополнительных соглашений, увеличивающих стоимость договора свыше 15 000 000,00 рублей с учетом всех установленных налогов и сборов, при условии неприменения требований по предоставлению обеспечительных мер в случае предложения победителем закупки аномально низкой цены</w:t>
      </w:r>
      <w:r w:rsidRPr="005E5376">
        <w:rPr>
          <w:rFonts w:ascii="Times New Roman" w:hAnsi="Times New Roman"/>
          <w:bCs/>
          <w:color w:val="000000" w:themeColor="text1"/>
        </w:rPr>
        <w:t>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Контрагент</w:t>
      </w:r>
      <w:r w:rsidRPr="005E5376">
        <w:rPr>
          <w:rStyle w:val="af"/>
          <w:rFonts w:ascii="Times New Roman" w:hAnsi="Times New Roman"/>
          <w:lang w:eastAsia="ru-RU"/>
        </w:rPr>
        <w:footnoteReference w:id="1"/>
      </w:r>
      <w:r w:rsidRPr="005E5376">
        <w:rPr>
          <w:rFonts w:ascii="Times New Roman" w:hAnsi="Times New Roman"/>
          <w:lang w:eastAsia="ru-RU"/>
        </w:rPr>
        <w:t xml:space="preserve"> предоставляет </w:t>
      </w:r>
      <w:r w:rsidRPr="005E5376">
        <w:rPr>
          <w:rFonts w:ascii="Times New Roman" w:hAnsi="Times New Roman"/>
          <w:b/>
          <w:lang w:eastAsia="ru-RU"/>
        </w:rPr>
        <w:t>гарантийный депозит</w:t>
      </w:r>
      <w:r w:rsidRPr="005E5376">
        <w:rPr>
          <w:rFonts w:ascii="Times New Roman" w:hAnsi="Times New Roman"/>
          <w:lang w:eastAsia="ru-RU"/>
        </w:rPr>
        <w:t xml:space="preserve"> по Договору, заключив с Заказчиком Соглашение о гарантийном депозите, по форме приложения 1 к настоящему Порядку. Гарантийный депозит формируется в размере </w:t>
      </w:r>
      <w:r w:rsidRPr="005E5376">
        <w:rPr>
          <w:rFonts w:ascii="Times New Roman" w:hAnsi="Times New Roman"/>
          <w:b/>
          <w:lang w:eastAsia="ru-RU"/>
        </w:rPr>
        <w:t>10%</w:t>
      </w:r>
      <w:r w:rsidRPr="005E5376">
        <w:rPr>
          <w:rFonts w:ascii="Times New Roman" w:hAnsi="Times New Roman"/>
          <w:lang w:eastAsia="ru-RU"/>
        </w:rPr>
        <w:t>от цены Договора.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Соглашение о гарантийном депозите подписывается одновременно с настоящим Договором.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Гарантийный депозит формируется по соглашению Сторон, в соответствии с которым Контрагент не возражает против удержания из платежей, причитающихся Контрагенту по Договору, денежной суммы в размере не менее 10% от стоимости выполненных работ, услуг, возмещения прочих затрат, поставленного оборудования, материалов, запасных частей. При этом обязательства Заказчика по оплате выполненных работ, услуг, возмещения прочих затрат, поставленного оборудования, материалов, запасных частей в части суммы, направленной на формирование гарантийного депозита считаются выполненными в полном объеме.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Гарантийный депозит применяется на период исполнения Договора до даты выполнения полного объема работ/услуг/поставки товаров по Договору.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Гарантийный депозит может быть использован Заказчиком для покрытия расходов, связанных с ненадлежащим исполнением Контрагентом обязательств по Договору.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Сумма списания гарантийного депозита должна соответствовать минимальной из следующих двух величин: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суммы неисполненных денежных обязательств Контрагента перед Заказчиком, рассчитанной в соответствии с условиями Соглашения о гарантийном депозите;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размера гарантийного депозита.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Для Гарантийного депозита, в случае если договором предусмотрена авансовая форма расчетов, суммой неисполненных денежных обязательств Контрагента перед Заказчиком является также непогашенная сумма авансового платежа.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Для гарантийного депозита, сумма неисполненных денежных обязательств Контрагента перед Заказчиком определяется с учетом:</w:t>
      </w:r>
    </w:p>
    <w:p w:rsidR="00B81630" w:rsidRPr="005E5376" w:rsidRDefault="00361A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суммы выставленных Контрагенту и неоплаченных претензий (кроме претензий, отозванных Заказчиком);</w:t>
      </w:r>
    </w:p>
    <w:p w:rsidR="00B81630" w:rsidRPr="005E5376" w:rsidRDefault="00361A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суммы неустойки (сверх суммы, уже учтенной в выставленных претензиях), на взыскание которой Заказчик имеет право на основании Договора либо закона;</w:t>
      </w:r>
    </w:p>
    <w:p w:rsidR="00B81630" w:rsidRPr="005E5376" w:rsidRDefault="00361A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суммы возмещения расходов (сверх суммы, уже оплаченной Контрагентом либо учтенной в выставленных претензиях), которые понес Заказчик в связи с неисполнением Контрагентом обязательств по Договору;</w:t>
      </w:r>
    </w:p>
    <w:p w:rsidR="00B81630" w:rsidRPr="005E5376" w:rsidRDefault="00361A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суммы возмещения убытков (сверх суммы, уже оплаченной Контрагентом либо 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учтенной в выставленных претензиях), причиненных неисполнением Контрагентом обязательств по договору;</w:t>
      </w:r>
    </w:p>
    <w:p w:rsidR="00B81630" w:rsidRPr="005E5376" w:rsidRDefault="00361A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процентов за неправомерное пользование денежными средствами Заказчика (сверх суммы, уже оплаченной Контрагентом либо учтенной в выставленных претензиях);</w:t>
      </w:r>
    </w:p>
    <w:p w:rsidR="00B81630" w:rsidRPr="005E5376" w:rsidRDefault="00361A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подлежащей оплате задолженности Контрагента перед Заказчиком (сверх суммы, уже оплаченной Контрагентом либо учтенной в выставленных претензиях), возникшей в связи с выплатой аванса (в части, непокрытой независимой гарантией 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возврат авансовых платежей по Договору) либо в связи с произошедшей переплатой по Договору в пользу Контрагента;</w:t>
      </w:r>
    </w:p>
    <w:p w:rsidR="00B81630" w:rsidRPr="005E5376" w:rsidRDefault="00361A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иных подлежащих оплате и неисполненных обязательств Контрагента перед Заказчиком (сверх суммы, уже учтенной в выставленных претензиях).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 xml:space="preserve">Выплата гарантийного депозита, предоставленного Контрагентом, </w:t>
      </w:r>
      <w:r w:rsidRPr="005E5376">
        <w:rPr>
          <w:rFonts w:ascii="Times New Roman" w:hAnsi="Times New Roman"/>
          <w:lang w:eastAsia="ru-RU"/>
        </w:rPr>
        <w:br/>
        <w:t xml:space="preserve">за вычетом средств, использованных Заказчиком для возмещения своих убытков, связанных с нарушением Контрагентом условий договора, производится в течение </w:t>
      </w:r>
      <w:r w:rsidRPr="005E5376">
        <w:rPr>
          <w:rFonts w:ascii="Times New Roman" w:hAnsi="Times New Roman"/>
          <w:lang w:eastAsia="ru-RU"/>
        </w:rPr>
        <w:br/>
        <w:t xml:space="preserve">30 календарных дней с даты подписания документа, указанного в Договоре, подтверждающего полное выполнение работ/услуг/поставки по Договору. 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</w:rPr>
      </w:pPr>
      <w:r w:rsidRPr="005E5376">
        <w:rPr>
          <w:rFonts w:ascii="Times New Roman" w:hAnsi="Times New Roman"/>
        </w:rPr>
        <w:t>До полной приемки всех работ/услуг/возмещения прочих затрат, поставки по Договору выполненные работы/услуги/поставка оплачиваются лишь в размере их стоимости за вычетом размера установленного гарантийного депозита</w:t>
      </w:r>
      <w:r w:rsidRPr="005E5376">
        <w:rPr>
          <w:rFonts w:ascii="Times New Roman" w:hAnsi="Times New Roman"/>
          <w:lang w:eastAsia="ru-RU"/>
        </w:rPr>
        <w:t xml:space="preserve">. </w:t>
      </w:r>
    </w:p>
    <w:p w:rsidR="00B81630" w:rsidRPr="005E5376" w:rsidRDefault="00361A1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Выплата гарантийного депозита Контрагенту до полной приемки всех выполненных по Договору работ/услуг/поставки на основании </w:t>
      </w:r>
      <w:r w:rsidRPr="005E5376">
        <w:rPr>
          <w:rFonts w:ascii="Times New Roman" w:hAnsi="Times New Roman" w:cs="Times New Roman"/>
          <w:sz w:val="24"/>
          <w:szCs w:val="24"/>
        </w:rPr>
        <w:t>документа, указанного в Договоре, подтверждающего полное выполнение работ/услуг/поставки по Договору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целом, а не отдельных его частей или этапов, не допускается.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В случае принятия решения о списании гарантийного депозита Заказчик в течение 3 рабочих дней направляет Контрагенту информацию о списании гарантийного депозита с указанием, в чем состоит нарушение Контрагентом обязательств, в обеспечение которых был сформирован гарантийный депозит, с указанием списанной суммы, определенной в соответствии с пунктами 1.8 настоящего Порядка</w:t>
      </w:r>
      <w:r w:rsidR="000A5C87" w:rsidRPr="005E5376">
        <w:rPr>
          <w:rFonts w:ascii="Times New Roman" w:hAnsi="Times New Roman"/>
          <w:lang w:eastAsia="ru-RU"/>
        </w:rPr>
        <w:t>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При расторжении (прекращении) Договора по основаниям, связанным с неисполнением/ненадлежащим исполнением обязательств Контрагентом по Договору, гарантийный депозит не подлежит выплате Контрагенту, а сумма, подлежащая оплате, в этом случае определяется в виде разницы между стоимостью выполненных работ, услуг, поставленного оборудования, материалов, запасных частей и суммой в размере 100% сформированного на момент расторжения (прекращения) Договора гарантийного депозита.</w:t>
      </w:r>
    </w:p>
    <w:p w:rsidR="00B81630" w:rsidRPr="005E5376" w:rsidRDefault="00361A10">
      <w:pPr>
        <w:pStyle w:val="af0"/>
        <w:widowControl w:val="0"/>
        <w:numPr>
          <w:ilvl w:val="1"/>
          <w:numId w:val="26"/>
        </w:numPr>
        <w:ind w:left="0" w:firstLine="709"/>
        <w:jc w:val="both"/>
        <w:rPr>
          <w:rFonts w:ascii="Times New Roman" w:hAnsi="Times New Roman"/>
          <w:lang w:eastAsia="ru-RU"/>
        </w:rPr>
      </w:pPr>
      <w:r w:rsidRPr="005E5376">
        <w:rPr>
          <w:rFonts w:ascii="Times New Roman" w:hAnsi="Times New Roman"/>
          <w:lang w:eastAsia="ru-RU"/>
        </w:rPr>
        <w:t>Стороны установили, что на сумму гарантийного депозита начисление процентов Контрагентом не осуществляется.</w:t>
      </w: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376" w:rsidRPr="005E5376" w:rsidRDefault="005E537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B816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630" w:rsidRPr="005E5376" w:rsidRDefault="00361A10">
      <w:pPr>
        <w:pStyle w:val="1"/>
        <w:spacing w:before="0" w:after="0"/>
        <w:ind w:left="5103"/>
        <w:rPr>
          <w:rStyle w:val="af9"/>
          <w:rFonts w:ascii="Times New Roman" w:hAnsi="Times New Roman" w:cs="Times New Roman"/>
          <w:b w:val="0"/>
          <w:sz w:val="24"/>
          <w:szCs w:val="24"/>
        </w:rPr>
      </w:pPr>
      <w:bookmarkStart w:id="1" w:name="_Toc175060960"/>
      <w:bookmarkStart w:id="2" w:name="_Toc175828224"/>
      <w:r w:rsidRPr="005E5376">
        <w:rPr>
          <w:rStyle w:val="af9"/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</w:t>
      </w:r>
      <w:bookmarkEnd w:id="1"/>
      <w:r w:rsidRPr="005E5376">
        <w:rPr>
          <w:rStyle w:val="af9"/>
          <w:rFonts w:ascii="Times New Roman" w:hAnsi="Times New Roman" w:cs="Times New Roman"/>
          <w:b w:val="0"/>
          <w:sz w:val="24"/>
          <w:szCs w:val="24"/>
        </w:rPr>
        <w:t>1</w:t>
      </w:r>
      <w:bookmarkStart w:id="3" w:name="_Toc175127433"/>
      <w:bookmarkEnd w:id="2"/>
      <w:r w:rsidRPr="005E5376">
        <w:rPr>
          <w:rStyle w:val="af9"/>
          <w:rFonts w:ascii="Times New Roman" w:hAnsi="Times New Roman" w:cs="Times New Roman"/>
          <w:b w:val="0"/>
          <w:sz w:val="24"/>
          <w:szCs w:val="24"/>
        </w:rPr>
        <w:t xml:space="preserve"> к Порядку</w:t>
      </w:r>
    </w:p>
    <w:p w:rsidR="00B81630" w:rsidRPr="005E5376" w:rsidRDefault="00B81630">
      <w:pPr>
        <w:widowControl w:val="0"/>
        <w:tabs>
          <w:tab w:val="left" w:pos="709"/>
          <w:tab w:val="left" w:pos="1701"/>
        </w:tabs>
        <w:jc w:val="center"/>
        <w:rPr>
          <w:rStyle w:val="af9"/>
          <w:rFonts w:ascii="Times New Roman" w:hAnsi="Times New Roman" w:cs="Times New Roman"/>
          <w:b/>
          <w:sz w:val="24"/>
          <w:szCs w:val="24"/>
        </w:rPr>
      </w:pPr>
    </w:p>
    <w:p w:rsidR="00B81630" w:rsidRPr="005E5376" w:rsidRDefault="00361A10">
      <w:pPr>
        <w:widowControl w:val="0"/>
        <w:jc w:val="center"/>
        <w:rPr>
          <w:rStyle w:val="af9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b/>
          <w:bCs/>
          <w:i/>
          <w:sz w:val="24"/>
          <w:szCs w:val="24"/>
        </w:rPr>
        <w:t xml:space="preserve">Типовая форма </w:t>
      </w:r>
      <w:r w:rsidRPr="005E5376">
        <w:rPr>
          <w:rStyle w:val="af9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соглашения о гарантийном депозите </w:t>
      </w:r>
    </w:p>
    <w:p w:rsidR="00B81630" w:rsidRPr="005E5376" w:rsidRDefault="00361A10">
      <w:pPr>
        <w:widowControl w:val="0"/>
        <w:jc w:val="center"/>
        <w:rPr>
          <w:rStyle w:val="af9"/>
          <w:rFonts w:ascii="Times New Roman" w:hAnsi="Times New Roman" w:cs="Times New Roman"/>
          <w:b/>
          <w:bCs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b/>
          <w:bCs/>
          <w:sz w:val="24"/>
          <w:szCs w:val="24"/>
        </w:rPr>
        <w:t>СОГЛАШЕНИЕ о гарантийном депозите</w:t>
      </w:r>
    </w:p>
    <w:tbl>
      <w:tblPr>
        <w:tblW w:w="93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2057"/>
        <w:gridCol w:w="4723"/>
      </w:tblGrid>
      <w:tr w:rsidR="00B81630" w:rsidRPr="005E5376">
        <w:trPr>
          <w:trHeight w:val="488"/>
        </w:trPr>
        <w:tc>
          <w:tcPr>
            <w:tcW w:w="25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630" w:rsidRPr="005E5376" w:rsidRDefault="00361A1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6">
              <w:rPr>
                <w:rStyle w:val="af9"/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20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630" w:rsidRPr="005E5376" w:rsidRDefault="00B81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1630" w:rsidRPr="005E5376" w:rsidRDefault="00361A1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376">
              <w:rPr>
                <w:rStyle w:val="af9"/>
                <w:rFonts w:ascii="Times New Roman" w:hAnsi="Times New Roman" w:cs="Times New Roman"/>
                <w:sz w:val="24"/>
                <w:szCs w:val="24"/>
              </w:rPr>
              <w:t xml:space="preserve">                          «__»________ 20___г.</w:t>
            </w:r>
          </w:p>
        </w:tc>
      </w:tr>
    </w:tbl>
    <w:p w:rsidR="00B81630" w:rsidRPr="005E5376" w:rsidRDefault="00361A10">
      <w:pPr>
        <w:widowControl w:val="0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__________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(указывается полное наименование Общества)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(сокращенное наименование: __________), именуемое в дальнейшем «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», в лице _______________________, действующего на основании __________________, с одной стороны, и ________________________, именуемое в дальнейшем «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"/>
          <w:rFonts w:ascii="Times New Roman" w:hAnsi="Times New Roman" w:cs="Times New Roman"/>
          <w:sz w:val="24"/>
          <w:szCs w:val="24"/>
        </w:rPr>
        <w:footnoteReference w:customMarkFollows="1" w:id="2"/>
        <w:t>1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», в лице __________________________, действующего на основании __________________, с другой стороны, именуемые в дальнейшем совместно «Стороны», в порядке п. ___ Договора от _____ №_____ (далее - Договор) заключили настоящее Соглашение о нижеследующем: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1.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предоставляет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Заказчику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гарантийный депозит по Договору в размере 10 (Десяти) процентов от </w:t>
      </w:r>
      <w:r w:rsidR="000A5C87"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суммы выполненных работ, услуг, поставленного оборудования, материалов 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(включая НДС)</w:t>
      </w:r>
      <w:r w:rsidR="000A5C87" w:rsidRPr="005E5376">
        <w:rPr>
          <w:rStyle w:val="af9"/>
          <w:rFonts w:ascii="Times New Roman" w:hAnsi="Times New Roman" w:cs="Times New Roman"/>
          <w:sz w:val="24"/>
          <w:szCs w:val="24"/>
        </w:rPr>
        <w:t>.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2.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предоставляет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Заказчику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право на удержание части цены Договора (включая НДС), указанной в пункте 1 настоящего Соглашения, из платежей и окончательного платежа за выполненные работы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в качестве гарантийного депозита путем резервирования названной денежной суммы на счете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: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- на период исполнения Договора до момента подписания акта ввода 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br/>
        <w:t xml:space="preserve">в эксплуатацию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 xml:space="preserve">законченного строительством объекта приемочной комиссией 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/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подписания сторонами иных итоговых документов, предусмотренных договором, подтверждающих выполнение контрагентом работ / оказание услуг / поставки товаров в полном объеме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.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3. Оплата выполненных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работ производится на условиях резервирования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денежной суммы в размере не менее 10% от стоимости выполненных работ, услуг, поставленного оборудования, материалов</w:t>
      </w:r>
      <w:r w:rsidR="000A5C87" w:rsidRPr="005E5376">
        <w:rPr>
          <w:rStyle w:val="af9"/>
          <w:rFonts w:ascii="Times New Roman" w:hAnsi="Times New Roman" w:cs="Times New Roman"/>
          <w:sz w:val="24"/>
          <w:szCs w:val="24"/>
        </w:rPr>
        <w:t>.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4. Гарантийный депозит может быть использован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для покрытия расходов, связанных с ненадлежащим исполнением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обязательств по Договору.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5. Сумма списания Гарантийного депозита определяется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с учетом следующих положений:</w:t>
      </w:r>
    </w:p>
    <w:p w:rsidR="00B81630" w:rsidRPr="005E5376" w:rsidRDefault="00361A1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5.1.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>Сумма списания Гарантийного депозита должна соответствовать минимальной из следующих двух величин: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суммы неисполненных денежных обязательств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перед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, рассчитанной в соответствии с </w:t>
      </w:r>
      <w:proofErr w:type="spellStart"/>
      <w:r w:rsidRPr="005E5376">
        <w:rPr>
          <w:rStyle w:val="af9"/>
          <w:rFonts w:ascii="Times New Roman" w:hAnsi="Times New Roman" w:cs="Times New Roman"/>
          <w:sz w:val="24"/>
          <w:szCs w:val="24"/>
        </w:rPr>
        <w:t>пп</w:t>
      </w:r>
      <w:proofErr w:type="spellEnd"/>
      <w:r w:rsidRPr="005E5376">
        <w:rPr>
          <w:rStyle w:val="af9"/>
          <w:rFonts w:ascii="Times New Roman" w:hAnsi="Times New Roman" w:cs="Times New Roman"/>
          <w:sz w:val="24"/>
          <w:szCs w:val="24"/>
        </w:rPr>
        <w:t>. 5.2-5.3 настоящего Соглашения;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>размера Гарантийного депозита.</w:t>
      </w:r>
    </w:p>
    <w:p w:rsidR="00B81630" w:rsidRPr="005E5376" w:rsidRDefault="00361A1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5.2.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Для Гарантийного депозита, в случае если Договором предусмотрена авансовая форма расчетов, суммой неисполненных денежных обязательств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перед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является непогашенная сумма авансового платежа.</w:t>
      </w:r>
    </w:p>
    <w:p w:rsidR="00B81630" w:rsidRPr="005E5376" w:rsidRDefault="00361A1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5.3.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Для Гарантийного депозита, сумма неисполненных денежных обязательств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перед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определяется с учетом: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суммы выставленных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у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и неоплаченных претензий (кроме претензий, отозванных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);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суммы неустойки (сверх суммы, уже учтенной в выставленных претензиях), на 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lastRenderedPageBreak/>
        <w:t xml:space="preserve">взыскание которой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имеет право на основании Договора либо закона;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суммы возмещения расходов (сверх суммы, уже оплаченной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либо учтенной в выставленных претензиях), которые понес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в связи с неисполнением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обязательств по Договору;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суммы возмещения убытков (сверх суммы, уже оплаченной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либо учтенной в выставленных претензиях), причиненных неисполнением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обязательств по Договору;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процентов за неправомерное пользование денежными средствами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(сверх суммы, уже оплаченной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либо учтенной в выставленных претензиях);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подлежащей оплате задолженности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перед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(сверх суммы, уже оплаченной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либо учтенной в выставленных претензиях), возникшей в связи с выплатой аванса (в части, непокрытой независимой гарантией на возврат авансовых платежей по Договору) либо в связи с произошедшей переплатой по Договору в пользу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;</w:t>
      </w:r>
    </w:p>
    <w:p w:rsidR="00B81630" w:rsidRPr="005E5376" w:rsidRDefault="00361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•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ab/>
        <w:t xml:space="preserve">иных подлежащих оплате и неисполненных обязательств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а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перед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(сверх суммы, уже учтенной в выставленных претензиях).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6.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депозита. 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Выплата гарантийного депозита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у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до полной приемки всех выполненных по Договору работ на основании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акта ввода в эксплуатацию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 xml:space="preserve">законченного строительством объекта приемочной комиссией 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в целом /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подписания сторонами иных итоговых документов, предусмотренных договором, подтверждающих выполнение контрагентом работ / оказание услуг / поставки товаров в полном объеме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, а не отдельных его частей или этапов, не допускается.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7. Выплата гарантийного депозита, предоставленного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на период исполнения Договора, за вычетом средств, использованных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Заказчиком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для возмещения своих убытков, связанных с нарушением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условий Договора, производится в следующем порядке:</w:t>
      </w:r>
    </w:p>
    <w:p w:rsidR="00B81630" w:rsidRPr="005E5376" w:rsidRDefault="00361A10">
      <w:pPr>
        <w:pStyle w:val="ConsPlusNormal"/>
        <w:numPr>
          <w:ilvl w:val="0"/>
          <w:numId w:val="12"/>
        </w:numPr>
        <w:ind w:left="0" w:firstLine="709"/>
        <w:jc w:val="both"/>
        <w:rPr>
          <w:rStyle w:val="af9"/>
          <w:rFonts w:ascii="Times New Roman" w:hAnsi="Times New Roman" w:cs="Times New Roman"/>
          <w:iCs/>
          <w:sz w:val="24"/>
          <w:szCs w:val="24"/>
        </w:rPr>
      </w:pPr>
      <w:r w:rsidRPr="005E5376">
        <w:rPr>
          <w:rStyle w:val="Hyperlink0"/>
          <w:rFonts w:ascii="Times New Roman" w:hAnsi="Times New Roman" w:cs="Times New Roman"/>
          <w:sz w:val="24"/>
          <w:szCs w:val="24"/>
        </w:rPr>
        <w:t xml:space="preserve">100% от суммы гарантийного депозита в течение 30 календарных дней с даты подписания 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акта ввода в эксплуатацию законченного строительством объекта / подписания сторонами иных итоговых документов, предусмотренных договором, подтверждающих выполнение контрагентом работ / оказание услуг / поставки товаров в полном объеме</w:t>
      </w:r>
      <w:r w:rsidRPr="005E5376">
        <w:rPr>
          <w:rStyle w:val="af9"/>
          <w:rFonts w:ascii="Times New Roman" w:hAnsi="Times New Roman" w:cs="Times New Roman"/>
          <w:iCs/>
          <w:sz w:val="24"/>
          <w:szCs w:val="24"/>
        </w:rPr>
        <w:t>.</w:t>
      </w:r>
    </w:p>
    <w:p w:rsidR="00B81630" w:rsidRPr="005E5376" w:rsidRDefault="00361A10">
      <w:pPr>
        <w:widowControl w:val="0"/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>Досрочная выплата гарантийного депозита до наступления указанных в настоящем пункте сроков не допускается.</w:t>
      </w:r>
    </w:p>
    <w:p w:rsidR="00B81630" w:rsidRPr="005E5376" w:rsidRDefault="00361A10">
      <w:pPr>
        <w:widowControl w:val="0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При расторжении (прекращении) Договора в случае невыполнения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работ в сроки и/или с ненадлежащим качеством, предусмотренные Договором, гарантийный депозит не подлежит выплате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af9"/>
          <w:rFonts w:ascii="Times New Roman" w:hAnsi="Times New Roman" w:cs="Times New Roman"/>
          <w:i/>
          <w:iCs/>
          <w:sz w:val="24"/>
          <w:szCs w:val="24"/>
        </w:rPr>
        <w:t>у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>, а стоимость выполненных работ в этом случае определяется в виде разницы между стоимостью выполненных работ и суммой в размере 100% (сто процентов) сформированного на момент расторжения (прекращения) Договора гарантийного депозита.</w:t>
      </w:r>
    </w:p>
    <w:p w:rsidR="00B81630" w:rsidRPr="005E5376" w:rsidRDefault="00361A10">
      <w:pPr>
        <w:widowControl w:val="0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Стороны установили, что на сумму гарантийного депозита начисление процентов </w:t>
      </w:r>
      <w:r w:rsidRPr="005E5376">
        <w:rPr>
          <w:rStyle w:val="af9"/>
          <w:rFonts w:ascii="Times New Roman" w:hAnsi="Times New Roman" w:cs="Times New Roman"/>
          <w:i/>
          <w:sz w:val="24"/>
          <w:szCs w:val="24"/>
        </w:rPr>
        <w:t>Контрагентом</w:t>
      </w:r>
      <w:r w:rsidRPr="005E5376">
        <w:rPr>
          <w:rStyle w:val="af9"/>
          <w:rFonts w:ascii="Times New Roman" w:hAnsi="Times New Roman" w:cs="Times New Roman"/>
          <w:sz w:val="24"/>
          <w:szCs w:val="24"/>
        </w:rPr>
        <w:t xml:space="preserve"> не осуществляется.</w:t>
      </w:r>
    </w:p>
    <w:p w:rsidR="00B81630" w:rsidRPr="005E5376" w:rsidRDefault="00B8163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709"/>
        <w:jc w:val="both"/>
        <w:rPr>
          <w:rStyle w:val="af9"/>
          <w:rFonts w:ascii="Times New Roman" w:hAnsi="Times New Roman" w:cs="Times New Roman"/>
          <w:sz w:val="24"/>
          <w:szCs w:val="24"/>
        </w:rPr>
      </w:pPr>
    </w:p>
    <w:p w:rsidR="00B81630" w:rsidRDefault="00361A10">
      <w:pPr>
        <w:widowControl w:val="0"/>
        <w:tabs>
          <w:tab w:val="left" w:pos="709"/>
          <w:tab w:val="left" w:pos="1701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>КОНТРАГЕНТ</w:t>
      </w: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ab/>
      </w: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ab/>
      </w: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ab/>
      </w: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ab/>
      </w: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ab/>
      </w: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ab/>
        <w:t xml:space="preserve">                                       </w:t>
      </w:r>
      <w:r w:rsidRPr="005E5376">
        <w:rPr>
          <w:rStyle w:val="Hyperlink0"/>
          <w:rFonts w:ascii="Times New Roman" w:hAnsi="Times New Roman" w:cs="Times New Roman"/>
          <w:i/>
          <w:sz w:val="24"/>
          <w:szCs w:val="24"/>
        </w:rPr>
        <w:tab/>
        <w:t>ЗАКАЗЧИК</w:t>
      </w:r>
      <w:bookmarkEnd w:id="3"/>
    </w:p>
    <w:sectPr w:rsidR="00B81630">
      <w:head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630" w:rsidRDefault="00361A10">
      <w:pPr>
        <w:spacing w:after="0" w:line="240" w:lineRule="auto"/>
      </w:pPr>
      <w:r>
        <w:separator/>
      </w:r>
    </w:p>
  </w:endnote>
  <w:endnote w:type="continuationSeparator" w:id="0">
    <w:p w:rsidR="00B81630" w:rsidRDefault="0036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630" w:rsidRDefault="00361A10">
      <w:pPr>
        <w:spacing w:after="0" w:line="240" w:lineRule="auto"/>
      </w:pPr>
      <w:r>
        <w:separator/>
      </w:r>
    </w:p>
  </w:footnote>
  <w:footnote w:type="continuationSeparator" w:id="0">
    <w:p w:rsidR="00B81630" w:rsidRDefault="00361A10">
      <w:pPr>
        <w:spacing w:after="0" w:line="240" w:lineRule="auto"/>
      </w:pPr>
      <w:r>
        <w:continuationSeparator/>
      </w:r>
    </w:p>
  </w:footnote>
  <w:footnote w:id="1">
    <w:p w:rsidR="00B81630" w:rsidRDefault="00361A10">
      <w:pPr>
        <w:pStyle w:val="ad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Здесь и далее по тексту под Контрагентом понимается сторона по Договору Подрядчик/Исполнитель/ Поставщик и т.п. согласно установленному в Договоре.</w:t>
      </w:r>
    </w:p>
  </w:footnote>
  <w:footnote w:id="2">
    <w:p w:rsidR="00B81630" w:rsidRDefault="00361A10">
      <w:pPr>
        <w:pStyle w:val="ad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Здесь и далее по тексту под Контрагентом понимается сторона по Договору Подрядчик/Исполнитель/ Поставщик и т.п. согласно установленному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630" w:rsidRDefault="00B81630">
    <w:pPr>
      <w:pStyle w:val="afb"/>
      <w:jc w:val="center"/>
    </w:pPr>
  </w:p>
  <w:p w:rsidR="00B81630" w:rsidRDefault="00361A10">
    <w:pPr>
      <w:pStyle w:val="afb"/>
      <w:jc w:val="center"/>
    </w:pPr>
    <w:r>
      <w:fldChar w:fldCharType="begin"/>
    </w:r>
    <w:r>
      <w:instrText>PAGE   \* MERGEFORMAT</w:instrText>
    </w:r>
    <w:r>
      <w:fldChar w:fldCharType="separate"/>
    </w:r>
    <w:r w:rsidR="005E5376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249"/>
    <w:multiLevelType w:val="multilevel"/>
    <w:tmpl w:val="599C3F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6337F9"/>
    <w:multiLevelType w:val="multilevel"/>
    <w:tmpl w:val="B82E7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3A1040"/>
    <w:multiLevelType w:val="multilevel"/>
    <w:tmpl w:val="A21C9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164D3A"/>
    <w:multiLevelType w:val="hybridMultilevel"/>
    <w:tmpl w:val="017C57BE"/>
    <w:lvl w:ilvl="0" w:tplc="7DF49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CCCA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728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A8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8C0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225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9815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6048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C60E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62F1C"/>
    <w:multiLevelType w:val="multilevel"/>
    <w:tmpl w:val="A08A40C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5B3B4C"/>
    <w:multiLevelType w:val="multilevel"/>
    <w:tmpl w:val="D4882142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CA76574"/>
    <w:multiLevelType w:val="multilevel"/>
    <w:tmpl w:val="4EE412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647FB9"/>
    <w:multiLevelType w:val="hybridMultilevel"/>
    <w:tmpl w:val="47D40670"/>
    <w:lvl w:ilvl="0" w:tplc="769E27B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CB237EE">
      <w:start w:val="1"/>
      <w:numFmt w:val="lowerLetter"/>
      <w:lvlText w:val="%2."/>
      <w:lvlJc w:val="left"/>
      <w:pPr>
        <w:ind w:left="1789" w:hanging="360"/>
      </w:pPr>
    </w:lvl>
    <w:lvl w:ilvl="2" w:tplc="0D0AA2CC">
      <w:start w:val="1"/>
      <w:numFmt w:val="lowerRoman"/>
      <w:lvlText w:val="%3."/>
      <w:lvlJc w:val="right"/>
      <w:pPr>
        <w:ind w:left="2509" w:hanging="180"/>
      </w:pPr>
    </w:lvl>
    <w:lvl w:ilvl="3" w:tplc="EC1A6114">
      <w:start w:val="1"/>
      <w:numFmt w:val="decimal"/>
      <w:lvlText w:val="%4."/>
      <w:lvlJc w:val="left"/>
      <w:pPr>
        <w:ind w:left="3229" w:hanging="360"/>
      </w:pPr>
    </w:lvl>
    <w:lvl w:ilvl="4" w:tplc="C352A346">
      <w:start w:val="1"/>
      <w:numFmt w:val="lowerLetter"/>
      <w:lvlText w:val="%5."/>
      <w:lvlJc w:val="left"/>
      <w:pPr>
        <w:ind w:left="3949" w:hanging="360"/>
      </w:pPr>
    </w:lvl>
    <w:lvl w:ilvl="5" w:tplc="67A810A2">
      <w:start w:val="1"/>
      <w:numFmt w:val="lowerRoman"/>
      <w:lvlText w:val="%6."/>
      <w:lvlJc w:val="right"/>
      <w:pPr>
        <w:ind w:left="4669" w:hanging="180"/>
      </w:pPr>
    </w:lvl>
    <w:lvl w:ilvl="6" w:tplc="8C4E2D1C">
      <w:start w:val="1"/>
      <w:numFmt w:val="decimal"/>
      <w:lvlText w:val="%7."/>
      <w:lvlJc w:val="left"/>
      <w:pPr>
        <w:ind w:left="5389" w:hanging="360"/>
      </w:pPr>
    </w:lvl>
    <w:lvl w:ilvl="7" w:tplc="16FAD6A2">
      <w:start w:val="1"/>
      <w:numFmt w:val="lowerLetter"/>
      <w:lvlText w:val="%8."/>
      <w:lvlJc w:val="left"/>
      <w:pPr>
        <w:ind w:left="6109" w:hanging="360"/>
      </w:pPr>
    </w:lvl>
    <w:lvl w:ilvl="8" w:tplc="97D8B8C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9710FF"/>
    <w:multiLevelType w:val="multilevel"/>
    <w:tmpl w:val="A880AFCE"/>
    <w:numStyleLink w:val="10"/>
  </w:abstractNum>
  <w:abstractNum w:abstractNumId="9" w15:restartNumberingAfterBreak="0">
    <w:nsid w:val="24CE39D0"/>
    <w:multiLevelType w:val="multilevel"/>
    <w:tmpl w:val="49BCFF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9D6187"/>
    <w:multiLevelType w:val="hybridMultilevel"/>
    <w:tmpl w:val="8E909A70"/>
    <w:lvl w:ilvl="0" w:tplc="2B1AF0EC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1532A07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3752A32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1B8AE1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192D69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112E890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E7A4080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7C62639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A4299E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C2B201F"/>
    <w:multiLevelType w:val="hybridMultilevel"/>
    <w:tmpl w:val="07441812"/>
    <w:lvl w:ilvl="0" w:tplc="F15E38E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18F4C720">
      <w:start w:val="1"/>
      <w:numFmt w:val="lowerLetter"/>
      <w:lvlText w:val="%2."/>
      <w:lvlJc w:val="left"/>
      <w:pPr>
        <w:ind w:left="1440" w:hanging="360"/>
      </w:pPr>
    </w:lvl>
    <w:lvl w:ilvl="2" w:tplc="D4F8F04C">
      <w:start w:val="1"/>
      <w:numFmt w:val="lowerRoman"/>
      <w:lvlText w:val="%3."/>
      <w:lvlJc w:val="right"/>
      <w:pPr>
        <w:ind w:left="2160" w:hanging="180"/>
      </w:pPr>
    </w:lvl>
    <w:lvl w:ilvl="3" w:tplc="42D44102">
      <w:start w:val="1"/>
      <w:numFmt w:val="decimal"/>
      <w:lvlText w:val="%4."/>
      <w:lvlJc w:val="left"/>
      <w:pPr>
        <w:ind w:left="2880" w:hanging="360"/>
      </w:pPr>
    </w:lvl>
    <w:lvl w:ilvl="4" w:tplc="36E2EDB4">
      <w:start w:val="1"/>
      <w:numFmt w:val="lowerLetter"/>
      <w:lvlText w:val="%5."/>
      <w:lvlJc w:val="left"/>
      <w:pPr>
        <w:ind w:left="3600" w:hanging="360"/>
      </w:pPr>
    </w:lvl>
    <w:lvl w:ilvl="5" w:tplc="BA922522">
      <w:start w:val="1"/>
      <w:numFmt w:val="lowerRoman"/>
      <w:lvlText w:val="%6."/>
      <w:lvlJc w:val="right"/>
      <w:pPr>
        <w:ind w:left="4320" w:hanging="180"/>
      </w:pPr>
    </w:lvl>
    <w:lvl w:ilvl="6" w:tplc="CFF0D114">
      <w:start w:val="1"/>
      <w:numFmt w:val="decimal"/>
      <w:lvlText w:val="%7."/>
      <w:lvlJc w:val="left"/>
      <w:pPr>
        <w:ind w:left="5040" w:hanging="360"/>
      </w:pPr>
    </w:lvl>
    <w:lvl w:ilvl="7" w:tplc="89F63F1E">
      <w:start w:val="1"/>
      <w:numFmt w:val="lowerLetter"/>
      <w:lvlText w:val="%8."/>
      <w:lvlJc w:val="left"/>
      <w:pPr>
        <w:ind w:left="5760" w:hanging="360"/>
      </w:pPr>
    </w:lvl>
    <w:lvl w:ilvl="8" w:tplc="BCE2A79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A15EB"/>
    <w:multiLevelType w:val="multilevel"/>
    <w:tmpl w:val="22E4D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13" w15:restartNumberingAfterBreak="0">
    <w:nsid w:val="3862462C"/>
    <w:multiLevelType w:val="hybridMultilevel"/>
    <w:tmpl w:val="70D051CA"/>
    <w:lvl w:ilvl="0" w:tplc="2EB410B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A3AC5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0A8795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CCA42F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B872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2A903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BE679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9AE3CE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74239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892DC7"/>
    <w:multiLevelType w:val="multilevel"/>
    <w:tmpl w:val="870A0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C263527"/>
    <w:multiLevelType w:val="multilevel"/>
    <w:tmpl w:val="A880AFCE"/>
    <w:styleLink w:val="10"/>
    <w:lvl w:ilvl="0">
      <w:start w:val="1"/>
      <w:numFmt w:val="decimal"/>
      <w:pStyle w:val="10"/>
      <w:lvlText w:val="%1."/>
      <w:lvlJc w:val="left"/>
      <w:pPr>
        <w:tabs>
          <w:tab w:val="left" w:pos="840"/>
          <w:tab w:val="num" w:pos="1477"/>
          <w:tab w:val="left" w:pos="1560"/>
        </w:tabs>
        <w:ind w:left="768" w:hanging="59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40"/>
          <w:tab w:val="left" w:pos="1560"/>
          <w:tab w:val="num" w:pos="2186"/>
        </w:tabs>
        <w:ind w:left="1477" w:hanging="59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left" w:pos="1560"/>
          <w:tab w:val="num" w:pos="2895"/>
        </w:tabs>
        <w:ind w:left="2186" w:hanging="59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560"/>
        </w:tabs>
        <w:ind w:left="131" w:firstLine="578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560"/>
        </w:tabs>
        <w:ind w:left="709" w:firstLine="567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4.%5.%6."/>
      <w:lvlJc w:val="left"/>
      <w:pPr>
        <w:tabs>
          <w:tab w:val="left" w:pos="840"/>
          <w:tab w:val="left" w:pos="1560"/>
          <w:tab w:val="num" w:pos="2487"/>
        </w:tabs>
        <w:ind w:left="1778" w:firstLine="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560"/>
        </w:tabs>
        <w:ind w:left="2487" w:firstLine="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560"/>
        </w:tabs>
        <w:ind w:left="3556" w:firstLine="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560"/>
        </w:tabs>
        <w:ind w:left="4265" w:firstLine="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3CAA08A2"/>
    <w:multiLevelType w:val="hybridMultilevel"/>
    <w:tmpl w:val="ADEA89D6"/>
    <w:lvl w:ilvl="0" w:tplc="5658D8FC">
      <w:start w:val="2"/>
      <w:numFmt w:val="decimal"/>
      <w:lvlText w:val="%1."/>
      <w:lvlJc w:val="left"/>
      <w:pPr>
        <w:ind w:left="1429" w:hanging="360"/>
      </w:pPr>
      <w:rPr>
        <w:rFonts w:eastAsiaTheme="minorHAnsi" w:cstheme="minorBidi" w:hint="default"/>
        <w:b/>
        <w:sz w:val="22"/>
      </w:rPr>
    </w:lvl>
    <w:lvl w:ilvl="1" w:tplc="BF04857E">
      <w:start w:val="1"/>
      <w:numFmt w:val="lowerLetter"/>
      <w:lvlText w:val="%2."/>
      <w:lvlJc w:val="left"/>
      <w:pPr>
        <w:ind w:left="2149" w:hanging="360"/>
      </w:pPr>
    </w:lvl>
    <w:lvl w:ilvl="2" w:tplc="9FC84EB0">
      <w:start w:val="1"/>
      <w:numFmt w:val="lowerRoman"/>
      <w:lvlText w:val="%3."/>
      <w:lvlJc w:val="right"/>
      <w:pPr>
        <w:ind w:left="2869" w:hanging="180"/>
      </w:pPr>
    </w:lvl>
    <w:lvl w:ilvl="3" w:tplc="2D6CCBF8">
      <w:start w:val="1"/>
      <w:numFmt w:val="decimal"/>
      <w:lvlText w:val="%4."/>
      <w:lvlJc w:val="left"/>
      <w:pPr>
        <w:ind w:left="3589" w:hanging="360"/>
      </w:pPr>
    </w:lvl>
    <w:lvl w:ilvl="4" w:tplc="5E9615E2">
      <w:start w:val="1"/>
      <w:numFmt w:val="lowerLetter"/>
      <w:lvlText w:val="%5."/>
      <w:lvlJc w:val="left"/>
      <w:pPr>
        <w:ind w:left="4309" w:hanging="360"/>
      </w:pPr>
    </w:lvl>
    <w:lvl w:ilvl="5" w:tplc="E250C4D6">
      <w:start w:val="1"/>
      <w:numFmt w:val="lowerRoman"/>
      <w:lvlText w:val="%6."/>
      <w:lvlJc w:val="right"/>
      <w:pPr>
        <w:ind w:left="5029" w:hanging="180"/>
      </w:pPr>
    </w:lvl>
    <w:lvl w:ilvl="6" w:tplc="C0CA9C98">
      <w:start w:val="1"/>
      <w:numFmt w:val="decimal"/>
      <w:lvlText w:val="%7."/>
      <w:lvlJc w:val="left"/>
      <w:pPr>
        <w:ind w:left="5749" w:hanging="360"/>
      </w:pPr>
    </w:lvl>
    <w:lvl w:ilvl="7" w:tplc="F788E0EE">
      <w:start w:val="1"/>
      <w:numFmt w:val="lowerLetter"/>
      <w:lvlText w:val="%8."/>
      <w:lvlJc w:val="left"/>
      <w:pPr>
        <w:ind w:left="6469" w:hanging="360"/>
      </w:pPr>
    </w:lvl>
    <w:lvl w:ilvl="8" w:tplc="C47EC890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6E1428"/>
    <w:multiLevelType w:val="multilevel"/>
    <w:tmpl w:val="F8B24A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4F022D"/>
    <w:multiLevelType w:val="multilevel"/>
    <w:tmpl w:val="EA8C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31C44C6"/>
    <w:multiLevelType w:val="multilevel"/>
    <w:tmpl w:val="A2C62DE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5F3A58"/>
    <w:multiLevelType w:val="multilevel"/>
    <w:tmpl w:val="150499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6F1D76"/>
    <w:multiLevelType w:val="hybridMultilevel"/>
    <w:tmpl w:val="B5FE692A"/>
    <w:numStyleLink w:val="30"/>
  </w:abstractNum>
  <w:abstractNum w:abstractNumId="22" w15:restartNumberingAfterBreak="0">
    <w:nsid w:val="4CB865F2"/>
    <w:multiLevelType w:val="multilevel"/>
    <w:tmpl w:val="321CA8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F280AA7"/>
    <w:multiLevelType w:val="multilevel"/>
    <w:tmpl w:val="CF14C73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A119D5"/>
    <w:multiLevelType w:val="hybridMultilevel"/>
    <w:tmpl w:val="69F6A280"/>
    <w:lvl w:ilvl="0" w:tplc="778A6BD6">
      <w:start w:val="2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2"/>
      </w:rPr>
    </w:lvl>
    <w:lvl w:ilvl="1" w:tplc="66F64108">
      <w:start w:val="1"/>
      <w:numFmt w:val="lowerLetter"/>
      <w:lvlText w:val="%2."/>
      <w:lvlJc w:val="left"/>
      <w:pPr>
        <w:ind w:left="1440" w:hanging="360"/>
      </w:pPr>
    </w:lvl>
    <w:lvl w:ilvl="2" w:tplc="256850DC">
      <w:start w:val="1"/>
      <w:numFmt w:val="lowerRoman"/>
      <w:lvlText w:val="%3."/>
      <w:lvlJc w:val="right"/>
      <w:pPr>
        <w:ind w:left="2160" w:hanging="180"/>
      </w:pPr>
    </w:lvl>
    <w:lvl w:ilvl="3" w:tplc="822AFB68">
      <w:start w:val="1"/>
      <w:numFmt w:val="decimal"/>
      <w:lvlText w:val="%4."/>
      <w:lvlJc w:val="left"/>
      <w:pPr>
        <w:ind w:left="2880" w:hanging="360"/>
      </w:pPr>
    </w:lvl>
    <w:lvl w:ilvl="4" w:tplc="5DEA3A56">
      <w:start w:val="1"/>
      <w:numFmt w:val="lowerLetter"/>
      <w:lvlText w:val="%5."/>
      <w:lvlJc w:val="left"/>
      <w:pPr>
        <w:ind w:left="3600" w:hanging="360"/>
      </w:pPr>
    </w:lvl>
    <w:lvl w:ilvl="5" w:tplc="73F6FEDE">
      <w:start w:val="1"/>
      <w:numFmt w:val="lowerRoman"/>
      <w:lvlText w:val="%6."/>
      <w:lvlJc w:val="right"/>
      <w:pPr>
        <w:ind w:left="4320" w:hanging="180"/>
      </w:pPr>
    </w:lvl>
    <w:lvl w:ilvl="6" w:tplc="4A446434">
      <w:start w:val="1"/>
      <w:numFmt w:val="decimal"/>
      <w:lvlText w:val="%7."/>
      <w:lvlJc w:val="left"/>
      <w:pPr>
        <w:ind w:left="5040" w:hanging="360"/>
      </w:pPr>
    </w:lvl>
    <w:lvl w:ilvl="7" w:tplc="9A2E58D2">
      <w:start w:val="1"/>
      <w:numFmt w:val="lowerLetter"/>
      <w:lvlText w:val="%8."/>
      <w:lvlJc w:val="left"/>
      <w:pPr>
        <w:ind w:left="5760" w:hanging="360"/>
      </w:pPr>
    </w:lvl>
    <w:lvl w:ilvl="8" w:tplc="FBCEA28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16D96"/>
    <w:multiLevelType w:val="multilevel"/>
    <w:tmpl w:val="A880AFCE"/>
    <w:numStyleLink w:val="10"/>
  </w:abstractNum>
  <w:abstractNum w:abstractNumId="26" w15:restartNumberingAfterBreak="0">
    <w:nsid w:val="5CB27245"/>
    <w:multiLevelType w:val="hybridMultilevel"/>
    <w:tmpl w:val="1896971C"/>
    <w:lvl w:ilvl="0" w:tplc="7C229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2542E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9C7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056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5CA1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84E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8B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FEEF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DAD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35949"/>
    <w:multiLevelType w:val="multilevel"/>
    <w:tmpl w:val="9D7E798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4BC407A"/>
    <w:multiLevelType w:val="hybridMultilevel"/>
    <w:tmpl w:val="B5FE692A"/>
    <w:styleLink w:val="30"/>
    <w:lvl w:ilvl="0" w:tplc="D5829A04">
      <w:start w:val="1"/>
      <w:numFmt w:val="bullet"/>
      <w:pStyle w:val="30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 w:tplc="2592B082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 w:tplc="0BC87A7E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 w:tplc="BE36D92C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 w:tplc="E58A6EAC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 w:tplc="5EC65398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 w:tplc="63FC1564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 w:tplc="188295A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 w:tplc="ECD8CA26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29" w15:restartNumberingAfterBreak="0">
    <w:nsid w:val="6D5C2931"/>
    <w:multiLevelType w:val="multilevel"/>
    <w:tmpl w:val="61AA112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480C08"/>
    <w:multiLevelType w:val="multilevel"/>
    <w:tmpl w:val="F7643C5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0"/>
  </w:num>
  <w:num w:numId="5">
    <w:abstractNumId w:val="15"/>
  </w:num>
  <w:num w:numId="6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left" w:pos="840"/>
            <w:tab w:val="num" w:pos="1477"/>
            <w:tab w:val="left" w:pos="1560"/>
          </w:tabs>
          <w:ind w:left="768" w:hanging="59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1266"/>
            <w:tab w:val="left" w:pos="1560"/>
            <w:tab w:val="num" w:pos="2186"/>
          </w:tabs>
          <w:ind w:left="1477" w:hanging="59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40"/>
            <w:tab w:val="left" w:pos="1560"/>
            <w:tab w:val="num" w:pos="2895"/>
          </w:tabs>
          <w:ind w:left="2186" w:hanging="59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left" w:pos="840"/>
            <w:tab w:val="left" w:pos="1560"/>
          </w:tabs>
          <w:ind w:left="131" w:firstLine="578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4.%5."/>
        <w:lvlJc w:val="left"/>
        <w:pPr>
          <w:tabs>
            <w:tab w:val="left" w:pos="840"/>
            <w:tab w:val="left" w:pos="1560"/>
          </w:tabs>
          <w:ind w:left="709" w:firstLine="567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4.%5.%6."/>
        <w:lvlJc w:val="left"/>
        <w:pPr>
          <w:tabs>
            <w:tab w:val="left" w:pos="840"/>
            <w:tab w:val="left" w:pos="1560"/>
            <w:tab w:val="num" w:pos="2487"/>
          </w:tabs>
          <w:ind w:left="1778" w:firstLine="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4.%5.%6.%7."/>
        <w:lvlJc w:val="left"/>
        <w:pPr>
          <w:tabs>
            <w:tab w:val="left" w:pos="840"/>
            <w:tab w:val="left" w:pos="1560"/>
          </w:tabs>
          <w:ind w:left="2487" w:firstLine="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4.%5.%6.%7.%8."/>
        <w:lvlJc w:val="left"/>
        <w:pPr>
          <w:tabs>
            <w:tab w:val="left" w:pos="840"/>
            <w:tab w:val="left" w:pos="1560"/>
          </w:tabs>
          <w:ind w:left="3556" w:firstLine="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4.%5.%6.%7.%8.%9."/>
        <w:lvlJc w:val="left"/>
        <w:pPr>
          <w:tabs>
            <w:tab w:val="left" w:pos="840"/>
            <w:tab w:val="left" w:pos="1560"/>
          </w:tabs>
          <w:ind w:left="4265" w:firstLine="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7">
    <w:abstractNumId w:val="26"/>
  </w:num>
  <w:num w:numId="8">
    <w:abstractNumId w:val="5"/>
    <w:lvlOverride w:ilvl="0">
      <w:lvl w:ilvl="0">
        <w:start w:val="3"/>
        <w:numFmt w:val="decimal"/>
        <w:lvlText w:val="%1."/>
        <w:lvlJc w:val="left"/>
        <w:pPr>
          <w:ind w:left="630" w:hanging="630"/>
        </w:pPr>
        <w:rPr>
          <w:rFonts w:hint="default"/>
        </w:rPr>
      </w:lvl>
    </w:lvlOverride>
    <w:lvlOverride w:ilvl="1"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9">
    <w:abstractNumId w:val="22"/>
  </w:num>
  <w:num w:numId="10">
    <w:abstractNumId w:val="29"/>
  </w:num>
  <w:num w:numId="11">
    <w:abstractNumId w:val="28"/>
  </w:num>
  <w:num w:numId="12">
    <w:abstractNumId w:val="21"/>
  </w:num>
  <w:num w:numId="13">
    <w:abstractNumId w:val="7"/>
  </w:num>
  <w:num w:numId="14">
    <w:abstractNumId w:val="11"/>
  </w:num>
  <w:num w:numId="15">
    <w:abstractNumId w:val="24"/>
  </w:num>
  <w:num w:numId="16">
    <w:abstractNumId w:val="16"/>
  </w:num>
  <w:num w:numId="17">
    <w:abstractNumId w:val="6"/>
  </w:num>
  <w:num w:numId="18">
    <w:abstractNumId w:val="0"/>
  </w:num>
  <w:num w:numId="19">
    <w:abstractNumId w:val="9"/>
  </w:num>
  <w:num w:numId="20">
    <w:abstractNumId w:val="23"/>
  </w:num>
  <w:num w:numId="21">
    <w:abstractNumId w:val="19"/>
  </w:num>
  <w:num w:numId="22">
    <w:abstractNumId w:val="30"/>
  </w:num>
  <w:num w:numId="23">
    <w:abstractNumId w:val="4"/>
  </w:num>
  <w:num w:numId="24">
    <w:abstractNumId w:val="27"/>
  </w:num>
  <w:num w:numId="25">
    <w:abstractNumId w:val="17"/>
  </w:num>
  <w:num w:numId="26">
    <w:abstractNumId w:val="2"/>
  </w:num>
  <w:num w:numId="27">
    <w:abstractNumId w:val="20"/>
  </w:num>
  <w:num w:numId="28">
    <w:abstractNumId w:val="18"/>
  </w:num>
  <w:num w:numId="29">
    <w:abstractNumId w:val="1"/>
  </w:num>
  <w:num w:numId="30">
    <w:abstractNumId w:val="1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630"/>
    <w:rsid w:val="000A5C87"/>
    <w:rsid w:val="002542DC"/>
    <w:rsid w:val="00361A10"/>
    <w:rsid w:val="005E5376"/>
    <w:rsid w:val="00A424DA"/>
    <w:rsid w:val="00B8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800AF"/>
  <w15:docId w15:val="{E4FA29EF-9114-4E93-8C26-1CB5512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1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paragraph" w:styleId="ad">
    <w:name w:val="footnote text"/>
    <w:link w:val="ae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-">
    <w:name w:val="_Маркер (номер) - с заголовком"/>
    <w:basedOn w:val="a"/>
    <w:link w:val="-0"/>
    <w:uiPriority w:val="99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List Paragraph"/>
    <w:basedOn w:val="a"/>
    <w:link w:val="af1"/>
    <w:uiPriority w:val="34"/>
    <w:qFormat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customStyle="1" w:styleId="af1">
    <w:name w:val="Абзац списка Знак"/>
    <w:link w:val="af0"/>
    <w:uiPriority w:val="34"/>
    <w:qFormat/>
    <w:rPr>
      <w:rFonts w:ascii="Calibri" w:eastAsia="Times New Roman" w:hAnsi="Calibri" w:cs="Times New Roman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character" w:customStyle="1" w:styleId="af9">
    <w:name w:val="Нет"/>
  </w:style>
  <w:style w:type="character" w:customStyle="1" w:styleId="Hyperlink0">
    <w:name w:val="Hyperlink.0"/>
    <w:basedOn w:val="af9"/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Arial Unicode MS" w:hAnsi="Calibri" w:cs="Arial Unicode MS"/>
      <w:color w:val="000000"/>
      <w:lang w:eastAsia="ru-RU"/>
    </w:rPr>
  </w:style>
  <w:style w:type="character" w:customStyle="1" w:styleId="11">
    <w:name w:val="Заголовок 1 Знак"/>
    <w:basedOn w:val="a0"/>
    <w:link w:val="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styleId="afa">
    <w:name w:val="Hyperlink"/>
    <w:uiPriority w:val="99"/>
    <w:rPr>
      <w:u w:val="single"/>
    </w:rPr>
  </w:style>
  <w:style w:type="paragraph" w:styleId="afb">
    <w:name w:val="header"/>
    <w:basedOn w:val="a"/>
    <w:link w:val="afc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afd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lang w:eastAsia="ru-RU"/>
    </w:rPr>
  </w:style>
  <w:style w:type="numbering" w:customStyle="1" w:styleId="10">
    <w:name w:val="Импортированный стиль 10"/>
    <w:pPr>
      <w:numPr>
        <w:numId w:val="5"/>
      </w:numPr>
    </w:pPr>
  </w:style>
  <w:style w:type="character" w:customStyle="1" w:styleId="Hyperlink1">
    <w:name w:val="Hyperlink.1"/>
    <w:rPr>
      <w:color w:val="0000FF"/>
      <w:u w:val="single"/>
    </w:rPr>
  </w:style>
  <w:style w:type="character" w:customStyle="1" w:styleId="Hyperlink2">
    <w:name w:val="Hyperlink.2"/>
    <w:rPr>
      <w:rFonts w:ascii="Times New Roman" w:eastAsia="Times New Roman" w:hAnsi="Times New Roman" w:cs="Times New Roman"/>
      <w:sz w:val="26"/>
      <w:szCs w:val="26"/>
    </w:rPr>
  </w:style>
  <w:style w:type="character" w:customStyle="1" w:styleId="-0">
    <w:name w:val="_Маркер (номер) - с заголовком Знак"/>
    <w:link w:val="-"/>
    <w:uiPriority w:val="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  <w:style w:type="numbering" w:customStyle="1" w:styleId="30">
    <w:name w:val="Импортированный стиль 30"/>
    <w:pPr>
      <w:numPr>
        <w:numId w:val="11"/>
      </w:numPr>
    </w:pPr>
  </w:style>
  <w:style w:type="table" w:styleId="aff0">
    <w:name w:val="Table Grid"/>
    <w:basedOn w:val="a1"/>
    <w:uiPriority w:val="5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4D446-AB45-495D-8533-E456E130E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Елена Викторовна</dc:creator>
  <cp:keywords/>
  <dc:description/>
  <cp:lastModifiedBy>Жданова Елена Викторовна</cp:lastModifiedBy>
  <cp:revision>7</cp:revision>
  <dcterms:created xsi:type="dcterms:W3CDTF">2025-02-19T06:37:00Z</dcterms:created>
  <dcterms:modified xsi:type="dcterms:W3CDTF">2026-04-01T11:26:00Z</dcterms:modified>
</cp:coreProperties>
</file>